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Toc311542539"/>
    </w:p>
    <w:p w:rsidR="004D7C4C" w:rsidRPr="00056BAB" w:rsidRDefault="004D7C4C" w:rsidP="004D7C4C">
      <w:pPr>
        <w:jc w:val="center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4D7C4C" w:rsidRDefault="004D7C4C" w:rsidP="004D7C4C">
      <w:pPr>
        <w:spacing w:line="276" w:lineRule="auto"/>
        <w:rPr>
          <w:b/>
          <w:sz w:val="28"/>
          <w:szCs w:val="28"/>
        </w:rPr>
      </w:pP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июля</w:t>
      </w:r>
      <w:r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23</w:t>
      </w: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D7C4C" w:rsidRDefault="004D7C4C" w:rsidP="004D7C4C">
      <w:pPr>
        <w:spacing w:line="276" w:lineRule="auto"/>
        <w:rPr>
          <w:sz w:val="28"/>
          <w:szCs w:val="28"/>
        </w:rPr>
      </w:pPr>
    </w:p>
    <w:p w:rsidR="004D7C4C" w:rsidRPr="00056BAB" w:rsidRDefault="004D7C4C" w:rsidP="004D7C4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льского поселения Красносельское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4D7C4C" w:rsidRDefault="004D7C4C" w:rsidP="004D7C4C">
      <w:pPr>
        <w:spacing w:line="276" w:lineRule="auto"/>
        <w:rPr>
          <w:sz w:val="28"/>
          <w:szCs w:val="28"/>
        </w:rPr>
      </w:pP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Красносельское</w:t>
      </w: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4D7C4C" w:rsidRDefault="004D7C4C" w:rsidP="004D7C4C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>
        <w:rPr>
          <w:bCs/>
        </w:rPr>
        <w:t>Красносельское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>
        <w:rPr>
          <w:bCs/>
        </w:rPr>
        <w:t>Красносельское</w:t>
      </w:r>
      <w:r>
        <w:t xml:space="preserve"> муниципального района Сергиевский Самарской области </w:t>
      </w:r>
    </w:p>
    <w:p w:rsidR="004D7C4C" w:rsidRDefault="004D7C4C" w:rsidP="004D7C4C">
      <w:pPr>
        <w:spacing w:line="276" w:lineRule="auto"/>
        <w:rPr>
          <w:b/>
          <w:u w:val="single"/>
        </w:rPr>
      </w:pPr>
    </w:p>
    <w:p w:rsidR="004D7C4C" w:rsidRPr="00056BAB" w:rsidRDefault="004D7C4C" w:rsidP="004D7C4C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4D7C4C" w:rsidRPr="00056BAB" w:rsidRDefault="004D7C4C" w:rsidP="004D7C4C">
      <w:pPr>
        <w:spacing w:line="276" w:lineRule="auto"/>
        <w:ind w:firstLine="720"/>
        <w:rPr>
          <w:rFonts w:ascii="Times New Roman" w:hAnsi="Times New Roman"/>
        </w:rPr>
      </w:pPr>
    </w:p>
    <w:p w:rsidR="004D7C4C" w:rsidRPr="00056BAB" w:rsidRDefault="004D7C4C" w:rsidP="004D7C4C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</w:t>
      </w:r>
      <w:r>
        <w:rPr>
          <w:bCs/>
          <w:kern w:val="32"/>
        </w:rPr>
        <w:t>льского поселения Красносельское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4D7C4C" w:rsidRPr="00056BAB" w:rsidRDefault="004D7C4C" w:rsidP="004D7C4C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Красносельское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Красносельское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4D7C4C" w:rsidRPr="00056BAB" w:rsidRDefault="004D7C4C" w:rsidP="004D7C4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D7C4C" w:rsidRPr="00056BAB" w:rsidRDefault="004D7C4C" w:rsidP="004D7C4C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D7C4C" w:rsidRPr="00056BAB" w:rsidRDefault="004D7C4C" w:rsidP="004D7C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4D7C4C" w:rsidRPr="00056BAB" w:rsidRDefault="004D7C4C" w:rsidP="004D7C4C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D7C4C" w:rsidRPr="00056BAB" w:rsidRDefault="004D7C4C" w:rsidP="004D7C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Красносельское</w:t>
      </w: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>
        <w:rPr>
          <w:rFonts w:ascii="Times New Roman" w:hAnsi="Times New Roman"/>
          <w:sz w:val="28"/>
          <w:szCs w:val="28"/>
        </w:rPr>
        <w:t>Н.А.Каемова</w:t>
      </w:r>
    </w:p>
    <w:p w:rsidR="004D7C4C" w:rsidRPr="00056BAB" w:rsidRDefault="004D7C4C" w:rsidP="004D7C4C">
      <w:pPr>
        <w:rPr>
          <w:rFonts w:ascii="Times New Roman" w:hAnsi="Times New Roman"/>
        </w:rPr>
      </w:pPr>
    </w:p>
    <w:p w:rsidR="004D7C4C" w:rsidRPr="00056BAB" w:rsidRDefault="004D7C4C" w:rsidP="004D7C4C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4D7C4C" w:rsidRPr="00056BAB" w:rsidRDefault="004D7C4C" w:rsidP="004D7C4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Красносельское</w:t>
      </w:r>
    </w:p>
    <w:p w:rsidR="004D7C4C" w:rsidRPr="00056BAB" w:rsidRDefault="004D7C4C" w:rsidP="004D7C4C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Н.В.Вершков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4D7C4C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4D7C4C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D67CC5" w:rsidP="004D7C4C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 Красносельское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4D7C4C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4D7C4C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</w:t>
      </w:r>
      <w:r w:rsidR="000E34EB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от « 29 »  июля 2019 г. № 23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Красносельское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льского поселения Красносельское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ьского поселения Красносельское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>льского поселения Красносельское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сельского 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поселения Красносельское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</w:t>
      </w:r>
      <w:r w:rsidR="006D33B6" w:rsidRPr="00653CA6">
        <w:rPr>
          <w:rFonts w:ascii="Times New Roman" w:hAnsi="Times New Roman"/>
          <w:sz w:val="28"/>
          <w:szCs w:val="28"/>
        </w:rPr>
        <w:lastRenderedPageBreak/>
        <w:t xml:space="preserve">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</w:t>
      </w:r>
      <w:r w:rsidR="00D67CC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ского поселения Красносельское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67CC5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67CC5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67CC5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67CC5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Заключение о результатах публичных слушаний подлежит опубликованию в порядке, установленном для официального опубликования муниципальных </w:t>
      </w:r>
      <w:r w:rsidRPr="00653CA6">
        <w:rPr>
          <w:rFonts w:ascii="Times New Roman" w:hAnsi="Times New Roman"/>
          <w:sz w:val="28"/>
          <w:szCs w:val="28"/>
        </w:rPr>
        <w:lastRenderedPageBreak/>
        <w:t>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D67CC5">
      <w:pPr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Pr="00653CA6" w:rsidRDefault="00056BAB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67CC5">
        <w:rPr>
          <w:rFonts w:ascii="Times New Roman" w:hAnsi="Times New Roman"/>
        </w:rPr>
        <w:t>сельского поселения Красносельское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35113">
        <w:rPr>
          <w:rFonts w:ascii="Times New Roman" w:hAnsi="Times New Roman"/>
        </w:rPr>
        <w:t>ритории сельского поселения Красносельское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4D7C4C">
          <w:headerReference w:type="even" r:id="rId10"/>
          <w:headerReference w:type="default" r:id="rId11"/>
          <w:pgSz w:w="11906" w:h="16838"/>
          <w:pgMar w:top="426" w:right="566" w:bottom="426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35113">
        <w:rPr>
          <w:rFonts w:ascii="Times New Roman" w:hAnsi="Times New Roman"/>
        </w:rPr>
        <w:t>ритории сельского поселения Красносельское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35113">
        <w:rPr>
          <w:rFonts w:ascii="Times New Roman" w:hAnsi="Times New Roman"/>
        </w:rPr>
        <w:t>ритории сельского поселения Красносельское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</w:t>
      </w:r>
      <w:r w:rsidR="00035113">
        <w:rPr>
          <w:rFonts w:ascii="Times New Roman" w:hAnsi="Times New Roman"/>
        </w:rPr>
        <w:t>ритории сельского поселения Красносельское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035113">
      <w:pPr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035113">
        <w:rPr>
          <w:rFonts w:ascii="Times New Roman" w:hAnsi="Times New Roman"/>
        </w:rPr>
        <w:t>сельского поселения Красносельское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035113" w:rsidRDefault="00431D2E" w:rsidP="00035113">
      <w:pPr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</w:t>
      </w:r>
    </w:p>
    <w:p w:rsidR="00431D2E" w:rsidRPr="00653CA6" w:rsidRDefault="00431D2E" w:rsidP="00035113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</w:t>
      </w:r>
      <w:r w:rsidR="00035113">
        <w:rPr>
          <w:rFonts w:ascii="Times New Roman" w:hAnsi="Times New Roman"/>
        </w:rPr>
        <w:t>еления Красносельское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035113">
        <w:rPr>
          <w:rFonts w:ascii="Times New Roman" w:hAnsi="Times New Roman"/>
        </w:rPr>
        <w:t xml:space="preserve"> сельского поселения Красносельское</w:t>
      </w:r>
      <w:r w:rsidR="0052765C" w:rsidRPr="00653CA6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035113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C2" w:rsidRDefault="00FB3AC2" w:rsidP="00FD64A6">
      <w:r>
        <w:separator/>
      </w:r>
    </w:p>
  </w:endnote>
  <w:endnote w:type="continuationSeparator" w:id="1">
    <w:p w:rsidR="00FB3AC2" w:rsidRDefault="00FB3AC2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C2" w:rsidRDefault="00FB3AC2" w:rsidP="00FD64A6">
      <w:r>
        <w:separator/>
      </w:r>
    </w:p>
  </w:footnote>
  <w:footnote w:type="continuationSeparator" w:id="1">
    <w:p w:rsidR="00FB3AC2" w:rsidRDefault="00FB3AC2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DF4EFE">
    <w:r>
      <w:fldChar w:fldCharType="begin"/>
    </w:r>
    <w:r w:rsidR="00431D2E">
      <w:instrText xml:space="preserve"> PAGE </w:instrText>
    </w:r>
    <w:r>
      <w:fldChar w:fldCharType="separate"/>
    </w:r>
    <w:r w:rsidR="004D7C4C">
      <w:rPr>
        <w:noProof/>
      </w:rPr>
      <w:t>23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DF4EFE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113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0E9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C17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34EB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1CD1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5E1E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679B4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1A5B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2E7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C4C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897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284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36DC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5D1E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67CC5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4EFE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3AC2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AA264-739E-4C83-B066-5C11FB58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2019-07-29T10:37:00Z</dcterms:created>
  <dcterms:modified xsi:type="dcterms:W3CDTF">2019-07-31T09:45:00Z</dcterms:modified>
</cp:coreProperties>
</file>